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90B8B" w:rsidRDefault="00890B8B" w:rsidP="00AE5D85">
      <w:pPr>
        <w:pStyle w:val="Nzev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7187AA7" wp14:editId="312654AD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4236720" cy="1376680"/>
                <wp:effectExtent l="0" t="1905" r="0" b="2540"/>
                <wp:wrapSquare wrapText="bothSides"/>
                <wp:docPr id="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6720" cy="1376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0B8B" w:rsidRPr="00FC6F1E" w:rsidRDefault="00890B8B" w:rsidP="00AE5D85">
                            <w:pPr>
                              <w:pStyle w:val="Nzev"/>
                            </w:pPr>
                            <w:r w:rsidRPr="00FC6F1E">
                              <w:t xml:space="preserve">ZÁPIS Z JEDNÁNÍ </w:t>
                            </w:r>
                            <w:bookmarkStart w:id="0" w:name="_Toc30654709"/>
                            <w:bookmarkStart w:id="1" w:name="_Toc41920612"/>
                            <w:bookmarkStart w:id="2" w:name="_Toc41921419"/>
                            <w:bookmarkStart w:id="3" w:name="_Toc42663378"/>
                            <w:bookmarkStart w:id="4" w:name="_Toc42663420"/>
                            <w:bookmarkStart w:id="5" w:name="_Toc42663465"/>
                            <w:bookmarkStart w:id="6" w:name="_Toc42663712"/>
                            <w:bookmarkStart w:id="7" w:name="_Toc49847061"/>
                            <w:bookmarkStart w:id="8" w:name="_Toc49850920"/>
                            <w:bookmarkStart w:id="9" w:name="_Toc72921114"/>
                            <w:bookmarkStart w:id="10" w:name="_Toc72921922"/>
                          </w:p>
                          <w:p w:rsidR="00890B8B" w:rsidRPr="00FC6F1E" w:rsidRDefault="00890B8B" w:rsidP="00AE5D85">
                            <w:pPr>
                              <w:pStyle w:val="Nzev"/>
                            </w:pPr>
                            <w:r w:rsidRPr="00FC6F1E">
                              <w:t>V</w:t>
                            </w:r>
                            <w:bookmarkStart w:id="11" w:name="_Toc30654710"/>
                            <w:bookmarkStart w:id="12" w:name="_Toc41920613"/>
                            <w:bookmarkStart w:id="13" w:name="_Toc41921420"/>
                            <w:bookmarkStart w:id="14" w:name="_Toc42663379"/>
                            <w:bookmarkStart w:id="15" w:name="_Toc42663421"/>
                            <w:bookmarkStart w:id="16" w:name="_Toc42663466"/>
                            <w:bookmarkStart w:id="17" w:name="_Toc42663713"/>
                            <w:bookmarkStart w:id="18" w:name="_Toc49847062"/>
                            <w:bookmarkStart w:id="19" w:name="_Toc49850921"/>
                            <w:bookmarkStart w:id="20" w:name="_Toc72921115"/>
                            <w:bookmarkStart w:id="21" w:name="_Toc72921923"/>
                            <w:bookmarkStart w:id="22" w:name="_Toc82582901"/>
                            <w:bookmarkStart w:id="23" w:name="_Toc82592984"/>
                            <w:bookmarkStart w:id="24" w:name="_Toc82593200"/>
                            <w:bookmarkEnd w:id="0"/>
                            <w:bookmarkEnd w:id="1"/>
                            <w:bookmarkEnd w:id="2"/>
                            <w:bookmarkEnd w:id="3"/>
                            <w:bookmarkEnd w:id="4"/>
                            <w:bookmarkEnd w:id="5"/>
                            <w:bookmarkEnd w:id="6"/>
                            <w:bookmarkEnd w:id="7"/>
                            <w:bookmarkEnd w:id="8"/>
                            <w:bookmarkEnd w:id="9"/>
                            <w:bookmarkEnd w:id="10"/>
                            <w:r w:rsidRPr="00FC6F1E">
                              <w:t>ýboru pro územní rozvoj a plánování</w:t>
                            </w:r>
                            <w:bookmarkStart w:id="25" w:name="_Toc30654711"/>
                            <w:bookmarkStart w:id="26" w:name="_Toc41920614"/>
                            <w:bookmarkStart w:id="27" w:name="_Toc41921421"/>
                            <w:bookmarkStart w:id="28" w:name="_Toc42663380"/>
                            <w:bookmarkStart w:id="29" w:name="_Toc42663422"/>
                            <w:bookmarkStart w:id="30" w:name="_Toc42663467"/>
                            <w:bookmarkStart w:id="31" w:name="_Toc42663714"/>
                            <w:bookmarkStart w:id="32" w:name="_Toc49847063"/>
                            <w:bookmarkStart w:id="33" w:name="_Toc49850922"/>
                            <w:bookmarkStart w:id="34" w:name="_Toc72921116"/>
                            <w:bookmarkStart w:id="35" w:name="_Toc72921924"/>
                            <w:bookmarkStart w:id="36" w:name="_Toc82582902"/>
                            <w:bookmarkEnd w:id="11"/>
                            <w:bookmarkEnd w:id="12"/>
                            <w:bookmarkEnd w:id="13"/>
                            <w:bookmarkEnd w:id="14"/>
                            <w:bookmarkEnd w:id="15"/>
                            <w:bookmarkEnd w:id="16"/>
                            <w:bookmarkEnd w:id="17"/>
                            <w:bookmarkEnd w:id="18"/>
                            <w:bookmarkEnd w:id="19"/>
                            <w:bookmarkEnd w:id="20"/>
                            <w:bookmarkEnd w:id="21"/>
                            <w:bookmarkEnd w:id="22"/>
                            <w:bookmarkEnd w:id="23"/>
                            <w:bookmarkEnd w:id="24"/>
                            <w:r w:rsidRPr="00FC6F1E">
                              <w:t xml:space="preserve"> </w:t>
                            </w:r>
                          </w:p>
                          <w:p w:rsidR="00890B8B" w:rsidRPr="00FC6F1E" w:rsidRDefault="00890B8B" w:rsidP="00AE5D85">
                            <w:pPr>
                              <w:pStyle w:val="Nzev"/>
                            </w:pPr>
                            <w:r w:rsidRPr="00FC6F1E">
                              <w:t>ZMČ Praha 18</w:t>
                            </w:r>
                            <w:bookmarkEnd w:id="25"/>
                            <w:bookmarkEnd w:id="26"/>
                            <w:bookmarkEnd w:id="27"/>
                            <w:bookmarkEnd w:id="28"/>
                            <w:bookmarkEnd w:id="29"/>
                            <w:bookmarkEnd w:id="30"/>
                            <w:bookmarkEnd w:id="31"/>
                            <w:bookmarkEnd w:id="32"/>
                            <w:bookmarkEnd w:id="33"/>
                            <w:bookmarkEnd w:id="34"/>
                            <w:bookmarkEnd w:id="35"/>
                            <w:bookmarkEnd w:id="36"/>
                          </w:p>
                          <w:p w:rsidR="00890B8B" w:rsidRPr="00FC6F1E" w:rsidRDefault="00890B8B" w:rsidP="00AE5D85">
                            <w:pPr>
                              <w:pStyle w:val="Nzev"/>
                            </w:pPr>
                            <w:r>
                              <w:t>16. června 2022</w:t>
                            </w:r>
                          </w:p>
                          <w:p w:rsidR="00890B8B" w:rsidRPr="00AE5D85" w:rsidRDefault="00890B8B" w:rsidP="00AE5D85">
                            <w:pPr>
                              <w:pStyle w:val="Nzev"/>
                            </w:pPr>
                            <w:r w:rsidRPr="00AE5D85">
                              <w:t>(výpis usnesení</w:t>
                            </w:r>
                            <w:r w:rsidR="00AE5D85" w:rsidRPr="00AE5D85">
                              <w:t xml:space="preserve"> č. 20/VURP06/22</w:t>
                            </w:r>
                            <w:r w:rsidRPr="00AE5D85">
                              <w:t>)</w:t>
                            </w:r>
                          </w:p>
                          <w:p w:rsidR="00890B8B" w:rsidRDefault="00890B8B" w:rsidP="00890B8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187AA7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0;margin-top:0;width:333.6pt;height:108.4pt;z-index:25166028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top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" stroked="f">
                <v:textbox>
                  <w:txbxContent>
                    <w:p w:rsidR="00890B8B" w:rsidRPr="00FC6F1E" w:rsidRDefault="00890B8B" w:rsidP="00AE5D85">
                      <w:pPr>
                        <w:pStyle w:val="Nzev"/>
                      </w:pPr>
                      <w:r w:rsidRPr="00FC6F1E">
                        <w:t xml:space="preserve">ZÁPIS Z JEDNÁNÍ </w:t>
                      </w:r>
                      <w:bookmarkStart w:id="37" w:name="_Toc30654709"/>
                      <w:bookmarkStart w:id="38" w:name="_Toc41920612"/>
                      <w:bookmarkStart w:id="39" w:name="_Toc41921419"/>
                      <w:bookmarkStart w:id="40" w:name="_Toc42663378"/>
                      <w:bookmarkStart w:id="41" w:name="_Toc42663420"/>
                      <w:bookmarkStart w:id="42" w:name="_Toc42663465"/>
                      <w:bookmarkStart w:id="43" w:name="_Toc42663712"/>
                      <w:bookmarkStart w:id="44" w:name="_Toc49847061"/>
                      <w:bookmarkStart w:id="45" w:name="_Toc49850920"/>
                      <w:bookmarkStart w:id="46" w:name="_Toc72921114"/>
                      <w:bookmarkStart w:id="47" w:name="_Toc72921922"/>
                    </w:p>
                    <w:p w:rsidR="00890B8B" w:rsidRPr="00FC6F1E" w:rsidRDefault="00890B8B" w:rsidP="00AE5D85">
                      <w:pPr>
                        <w:pStyle w:val="Nzev"/>
                      </w:pPr>
                      <w:r w:rsidRPr="00FC6F1E">
                        <w:t>V</w:t>
                      </w:r>
                      <w:bookmarkStart w:id="48" w:name="_Toc30654710"/>
                      <w:bookmarkStart w:id="49" w:name="_Toc41920613"/>
                      <w:bookmarkStart w:id="50" w:name="_Toc41921420"/>
                      <w:bookmarkStart w:id="51" w:name="_Toc42663379"/>
                      <w:bookmarkStart w:id="52" w:name="_Toc42663421"/>
                      <w:bookmarkStart w:id="53" w:name="_Toc42663466"/>
                      <w:bookmarkStart w:id="54" w:name="_Toc42663713"/>
                      <w:bookmarkStart w:id="55" w:name="_Toc49847062"/>
                      <w:bookmarkStart w:id="56" w:name="_Toc49850921"/>
                      <w:bookmarkStart w:id="57" w:name="_Toc72921115"/>
                      <w:bookmarkStart w:id="58" w:name="_Toc72921923"/>
                      <w:bookmarkStart w:id="59" w:name="_Toc82582901"/>
                      <w:bookmarkStart w:id="60" w:name="_Toc82592984"/>
                      <w:bookmarkStart w:id="61" w:name="_Toc82593200"/>
                      <w:bookmarkEnd w:id="37"/>
                      <w:bookmarkEnd w:id="38"/>
                      <w:bookmarkEnd w:id="39"/>
                      <w:bookmarkEnd w:id="40"/>
                      <w:bookmarkEnd w:id="41"/>
                      <w:bookmarkEnd w:id="42"/>
                      <w:bookmarkEnd w:id="43"/>
                      <w:bookmarkEnd w:id="44"/>
                      <w:bookmarkEnd w:id="45"/>
                      <w:bookmarkEnd w:id="46"/>
                      <w:bookmarkEnd w:id="47"/>
                      <w:r w:rsidRPr="00FC6F1E">
                        <w:t>ýboru pro územní rozvoj a plánování</w:t>
                      </w:r>
                      <w:bookmarkStart w:id="62" w:name="_Toc30654711"/>
                      <w:bookmarkStart w:id="63" w:name="_Toc41920614"/>
                      <w:bookmarkStart w:id="64" w:name="_Toc41921421"/>
                      <w:bookmarkStart w:id="65" w:name="_Toc42663380"/>
                      <w:bookmarkStart w:id="66" w:name="_Toc42663422"/>
                      <w:bookmarkStart w:id="67" w:name="_Toc42663467"/>
                      <w:bookmarkStart w:id="68" w:name="_Toc42663714"/>
                      <w:bookmarkStart w:id="69" w:name="_Toc49847063"/>
                      <w:bookmarkStart w:id="70" w:name="_Toc49850922"/>
                      <w:bookmarkStart w:id="71" w:name="_Toc72921116"/>
                      <w:bookmarkStart w:id="72" w:name="_Toc72921924"/>
                      <w:bookmarkStart w:id="73" w:name="_Toc82582902"/>
                      <w:bookmarkEnd w:id="48"/>
                      <w:bookmarkEnd w:id="49"/>
                      <w:bookmarkEnd w:id="50"/>
                      <w:bookmarkEnd w:id="51"/>
                      <w:bookmarkEnd w:id="52"/>
                      <w:bookmarkEnd w:id="53"/>
                      <w:bookmarkEnd w:id="54"/>
                      <w:bookmarkEnd w:id="55"/>
                      <w:bookmarkEnd w:id="56"/>
                      <w:bookmarkEnd w:id="57"/>
                      <w:bookmarkEnd w:id="58"/>
                      <w:bookmarkEnd w:id="59"/>
                      <w:bookmarkEnd w:id="60"/>
                      <w:bookmarkEnd w:id="61"/>
                      <w:r w:rsidRPr="00FC6F1E">
                        <w:t xml:space="preserve"> </w:t>
                      </w:r>
                    </w:p>
                    <w:p w:rsidR="00890B8B" w:rsidRPr="00FC6F1E" w:rsidRDefault="00890B8B" w:rsidP="00AE5D85">
                      <w:pPr>
                        <w:pStyle w:val="Nzev"/>
                      </w:pPr>
                      <w:r w:rsidRPr="00FC6F1E">
                        <w:t>ZMČ Praha 18</w:t>
                      </w:r>
                      <w:bookmarkEnd w:id="62"/>
                      <w:bookmarkEnd w:id="63"/>
                      <w:bookmarkEnd w:id="64"/>
                      <w:bookmarkEnd w:id="65"/>
                      <w:bookmarkEnd w:id="66"/>
                      <w:bookmarkEnd w:id="67"/>
                      <w:bookmarkEnd w:id="68"/>
                      <w:bookmarkEnd w:id="69"/>
                      <w:bookmarkEnd w:id="70"/>
                      <w:bookmarkEnd w:id="71"/>
                      <w:bookmarkEnd w:id="72"/>
                      <w:bookmarkEnd w:id="73"/>
                    </w:p>
                    <w:p w:rsidR="00890B8B" w:rsidRPr="00FC6F1E" w:rsidRDefault="00890B8B" w:rsidP="00AE5D85">
                      <w:pPr>
                        <w:pStyle w:val="Nzev"/>
                      </w:pPr>
                      <w:r>
                        <w:t>16. června 2022</w:t>
                      </w:r>
                    </w:p>
                    <w:p w:rsidR="00890B8B" w:rsidRPr="00AE5D85" w:rsidRDefault="00890B8B" w:rsidP="00AE5D85">
                      <w:pPr>
                        <w:pStyle w:val="Nzev"/>
                      </w:pPr>
                      <w:r w:rsidRPr="00AE5D85">
                        <w:t>(výpis usnesení</w:t>
                      </w:r>
                      <w:r w:rsidR="00AE5D85" w:rsidRPr="00AE5D85">
                        <w:t xml:space="preserve"> č. 20/VURP06/22</w:t>
                      </w:r>
                      <w:r w:rsidRPr="00AE5D85">
                        <w:t>)</w:t>
                      </w:r>
                    </w:p>
                    <w:p w:rsidR="00890B8B" w:rsidRDefault="00890B8B" w:rsidP="00890B8B"/>
                  </w:txbxContent>
                </v:textbox>
                <w10:wrap type="square" anchorx="margin" anchory="margin"/>
              </v:shape>
            </w:pict>
          </mc:Fallback>
        </mc:AlternateContent>
      </w:r>
      <w:r w:rsidRPr="00CD0B3C">
        <w:rPr>
          <w:noProof/>
        </w:rPr>
        <w:drawing>
          <wp:anchor distT="0" distB="0" distL="114300" distR="114300" simplePos="0" relativeHeight="251659264" behindDoc="1" locked="0" layoutInCell="1" allowOverlap="1" wp14:anchorId="268B3BED" wp14:editId="4686CD16">
            <wp:simplePos x="0" y="0"/>
            <wp:positionH relativeFrom="column">
              <wp:posOffset>-85090</wp:posOffset>
            </wp:positionH>
            <wp:positionV relativeFrom="paragraph">
              <wp:posOffset>6350</wp:posOffset>
            </wp:positionV>
            <wp:extent cx="802005" cy="948690"/>
            <wp:effectExtent l="0" t="0" r="0" b="3810"/>
            <wp:wrapTight wrapText="bothSides">
              <wp:wrapPolygon edited="0">
                <wp:start x="0" y="0"/>
                <wp:lineTo x="0" y="16916"/>
                <wp:lineTo x="5644" y="20819"/>
                <wp:lineTo x="7183" y="21253"/>
                <wp:lineTo x="14879" y="21253"/>
                <wp:lineTo x="15905" y="20819"/>
                <wp:lineTo x="21036" y="17783"/>
                <wp:lineTo x="21036" y="434"/>
                <wp:lineTo x="20010" y="0"/>
                <wp:lineTo x="0" y="0"/>
              </wp:wrapPolygon>
            </wp:wrapTight>
            <wp:docPr id="1" name="Obrázek 1" descr="Letoan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Letoany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005" cy="94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90B8B" w:rsidRPr="0029706D" w:rsidRDefault="00890B8B" w:rsidP="00AE5D85">
      <w:pPr>
        <w:pStyle w:val="Nzev"/>
      </w:pPr>
    </w:p>
    <w:p w:rsidR="00890B8B" w:rsidRDefault="00890B8B" w:rsidP="00890B8B">
      <w:pPr>
        <w:pStyle w:val="Nadpis2"/>
      </w:pPr>
      <w:bookmarkStart w:id="74" w:name="_Toc93552058"/>
    </w:p>
    <w:p w:rsidR="00890B8B" w:rsidRDefault="00890B8B" w:rsidP="00890B8B">
      <w:pPr>
        <w:pStyle w:val="Nadpis2"/>
      </w:pPr>
    </w:p>
    <w:p w:rsidR="00890B8B" w:rsidRDefault="00890B8B" w:rsidP="00890B8B">
      <w:pPr>
        <w:pStyle w:val="Nadpis2"/>
      </w:pPr>
    </w:p>
    <w:p w:rsidR="00890B8B" w:rsidRDefault="00890B8B" w:rsidP="00890B8B">
      <w:pPr>
        <w:pStyle w:val="Nadpis2"/>
      </w:pPr>
      <w:r>
        <w:t>___________________________________________________________________________</w:t>
      </w:r>
    </w:p>
    <w:bookmarkEnd w:id="74"/>
    <w:p w:rsidR="00890B8B" w:rsidRDefault="00890B8B" w:rsidP="00890B8B"/>
    <w:p w:rsidR="00AE5D85" w:rsidRDefault="00AE5D85" w:rsidP="00AE5D85">
      <w:pPr>
        <w:jc w:val="both"/>
      </w:pPr>
      <w:r>
        <w:t xml:space="preserve">Vzhledem k tomu, že se sešli pouze čtyři členové VÚRP nebyl výbor </w:t>
      </w:r>
      <w:proofErr w:type="spellStart"/>
      <w:r>
        <w:t>usnášeníshopný</w:t>
      </w:r>
      <w:proofErr w:type="spellEnd"/>
      <w:r>
        <w:t>, tedy nebyl schopen přijímat usnesení.</w:t>
      </w:r>
    </w:p>
    <w:p w:rsidR="00AE5D85" w:rsidRDefault="00AE5D85" w:rsidP="00AE5D85">
      <w:pPr>
        <w:jc w:val="both"/>
      </w:pPr>
      <w:bookmarkStart w:id="75" w:name="_Toc106258158"/>
    </w:p>
    <w:p w:rsidR="00AE5D85" w:rsidRDefault="00AE5D85" w:rsidP="00AE5D85">
      <w:pPr>
        <w:jc w:val="both"/>
        <w:rPr>
          <w:i/>
        </w:rPr>
      </w:pPr>
      <w:r>
        <w:t xml:space="preserve">Jednání výboru je tak zrušeno, resp. k jednotlivým bodům jednání nebudou přijata žádná usnesení. Členům VÚRP bude materiál, vzhledem ke stanoveným lhůtám připomínkování metropolitního plánu, zaslán k hlasování v souladu s čl. IV. odst. 4) jednacího řádu výborů ZMČ Praha 18, schváleného usnesením č. 083/Z5/14, který stanoví, že </w:t>
      </w:r>
      <w:r w:rsidRPr="009B5EFD">
        <w:rPr>
          <w:i/>
        </w:rPr>
        <w:t>Jednání výboru se může uskutečnit i výjimeč</w:t>
      </w:r>
      <w:r>
        <w:rPr>
          <w:i/>
        </w:rPr>
        <w:t>ně ve lhůtě kratší než 7 dní, a </w:t>
      </w:r>
      <w:r w:rsidRPr="009B5EFD">
        <w:rPr>
          <w:i/>
        </w:rPr>
        <w:t>to zejména z důvodu operativnosti a rychlosti projednání stanovisek. V takovém případě se připouští i  procedura  hlasování per rollam. Výsledky takového hlasování jsou uvedeny a potvrzeny na následujícím jednání příslušného výboru.</w:t>
      </w:r>
      <w:bookmarkEnd w:id="75"/>
      <w:r w:rsidRPr="009B5EFD">
        <w:rPr>
          <w:i/>
        </w:rPr>
        <w:t xml:space="preserve"> </w:t>
      </w:r>
    </w:p>
    <w:p w:rsidR="00AE5D85" w:rsidRDefault="00AE5D85" w:rsidP="00AE5D85">
      <w:pPr>
        <w:jc w:val="both"/>
      </w:pPr>
    </w:p>
    <w:p w:rsidR="00AE5D85" w:rsidRDefault="00AE5D85" w:rsidP="00AE5D85">
      <w:pPr>
        <w:pBdr>
          <w:bottom w:val="single" w:sz="4" w:space="1" w:color="auto"/>
        </w:pBdr>
        <w:jc w:val="both"/>
        <w:rPr>
          <w:b/>
        </w:rPr>
      </w:pPr>
      <w:r w:rsidRPr="004B6D08">
        <w:rPr>
          <w:b/>
        </w:rPr>
        <w:t xml:space="preserve">Hlasování Per rollam bylo ukončeno dne </w:t>
      </w:r>
      <w:proofErr w:type="gramStart"/>
      <w:r w:rsidRPr="004B6D08">
        <w:rPr>
          <w:b/>
        </w:rPr>
        <w:t>21.06.2022</w:t>
      </w:r>
      <w:proofErr w:type="gramEnd"/>
    </w:p>
    <w:p w:rsidR="00AE5D85" w:rsidRDefault="00AE5D85" w:rsidP="00AE5D85">
      <w:pPr>
        <w:jc w:val="both"/>
        <w:rPr>
          <w:b/>
        </w:rPr>
      </w:pPr>
    </w:p>
    <w:p w:rsidR="00AE5D85" w:rsidRPr="00AE5D85" w:rsidRDefault="00AE5D85" w:rsidP="00AE5D85">
      <w:pPr>
        <w:pStyle w:val="Nadpis3"/>
        <w:keepLines w:val="0"/>
        <w:numPr>
          <w:ilvl w:val="1"/>
          <w:numId w:val="0"/>
        </w:numPr>
        <w:spacing w:before="120"/>
        <w:ind w:left="709" w:hanging="709"/>
        <w:jc w:val="both"/>
        <w:rPr>
          <w:rFonts w:ascii="Times New Roman" w:hAnsi="Times New Roman" w:cs="Times New Roman"/>
          <w:b/>
          <w:color w:val="auto"/>
        </w:rPr>
      </w:pPr>
      <w:bookmarkStart w:id="76" w:name="_Toc106258182"/>
      <w:bookmarkStart w:id="77" w:name="_Toc106685871"/>
      <w:r w:rsidRPr="00AE5D85">
        <w:rPr>
          <w:rFonts w:ascii="Times New Roman" w:hAnsi="Times New Roman" w:cs="Times New Roman"/>
          <w:b/>
          <w:color w:val="auto"/>
        </w:rPr>
        <w:t xml:space="preserve">3.11 </w:t>
      </w:r>
      <w:r w:rsidRPr="00AE5D85">
        <w:rPr>
          <w:rFonts w:ascii="Times New Roman" w:hAnsi="Times New Roman" w:cs="Times New Roman"/>
          <w:b/>
          <w:color w:val="auto"/>
        </w:rPr>
        <w:t>Doplnit pás zeleně u Kbelské ulice u metra.</w:t>
      </w:r>
      <w:bookmarkEnd w:id="76"/>
      <w:bookmarkEnd w:id="77"/>
    </w:p>
    <w:p w:rsidR="00AE5D85" w:rsidRDefault="00AE5D85" w:rsidP="00AE5D85">
      <w:pPr>
        <w:rPr>
          <w:b/>
          <w:szCs w:val="22"/>
        </w:rPr>
      </w:pPr>
    </w:p>
    <w:p w:rsidR="00AE5D85" w:rsidRPr="00AA312A" w:rsidRDefault="00AE5D85" w:rsidP="00AE5D85">
      <w:pPr>
        <w:rPr>
          <w:b/>
          <w:szCs w:val="22"/>
        </w:rPr>
      </w:pPr>
      <w:r w:rsidRPr="00AA312A">
        <w:rPr>
          <w:b/>
          <w:szCs w:val="22"/>
        </w:rPr>
        <w:t xml:space="preserve">Odůvodnění: </w:t>
      </w:r>
    </w:p>
    <w:p w:rsidR="00AE5D85" w:rsidRPr="00AA312A" w:rsidRDefault="00AE5D85" w:rsidP="00AE5D85">
      <w:pPr>
        <w:jc w:val="both"/>
        <w:rPr>
          <w:szCs w:val="22"/>
        </w:rPr>
      </w:pPr>
      <w:r w:rsidRPr="00AA312A">
        <w:rPr>
          <w:szCs w:val="22"/>
        </w:rPr>
        <w:t xml:space="preserve">Podél Kbelské ulice se nachází ochranné pásmo teplovodu a dalších inženýrských sítí. V souladu se stávajícím územní plánem, kde je funkční plocha izolační zeleně, je vhodné tuto plochu využít pro zřízení místního parku, který bude zároveň izolovat navrhovanou bytovou zástavbu od Kbelské ulice v návaznosti na zelenou plochu podél ulice Broumovské. Navržená zelená plocha se nachází </w:t>
      </w:r>
      <w:r w:rsidRPr="00AA312A">
        <w:rPr>
          <w:szCs w:val="22"/>
        </w:rPr>
        <w:br/>
        <w:t xml:space="preserve">v k. ú. Letňany a Vysočany. Jde o p. č. 1681/23 (k. ú. Vysočany), 547/23 (k. ú. Letňany), 1681/1 (k. ú. Vysočany), 547/37 (k. ú. Letňany), 1682/1 (k. ú. Vysočany), 1686/22 (k. ú. Vysočany). Na jižním konci by park navazoval na obnovovanou poutní cestu Via </w:t>
      </w:r>
      <w:proofErr w:type="spellStart"/>
      <w:r w:rsidRPr="00AA312A">
        <w:rPr>
          <w:szCs w:val="22"/>
        </w:rPr>
        <w:t>Sancta</w:t>
      </w:r>
      <w:proofErr w:type="spellEnd"/>
      <w:r w:rsidRPr="00AA312A">
        <w:rPr>
          <w:szCs w:val="22"/>
        </w:rPr>
        <w:t xml:space="preserve"> mezi Vysočany a Kbely.</w:t>
      </w:r>
    </w:p>
    <w:p w:rsidR="00AE5D85" w:rsidRPr="00AA312A" w:rsidRDefault="00AE5D85" w:rsidP="00AE5D85">
      <w:pPr>
        <w:spacing w:before="100" w:beforeAutospacing="1" w:after="100" w:afterAutospacing="1"/>
        <w:jc w:val="both"/>
        <w:rPr>
          <w:szCs w:val="22"/>
        </w:rPr>
      </w:pPr>
      <w:r w:rsidRPr="00AA312A">
        <w:rPr>
          <w:szCs w:val="22"/>
        </w:rPr>
        <w:t>Je třeba označit za veřejně prospěšnou stavbu.</w:t>
      </w:r>
    </w:p>
    <w:p w:rsidR="00AE5D85" w:rsidRPr="00A272D9" w:rsidRDefault="00AE5D85" w:rsidP="00AE5D85">
      <w:pPr>
        <w:spacing w:before="100" w:beforeAutospacing="1" w:after="100" w:afterAutospacing="1"/>
        <w:rPr>
          <w:color w:val="FF0000"/>
          <w:szCs w:val="22"/>
        </w:rPr>
      </w:pPr>
      <w:r>
        <w:rPr>
          <w:noProof/>
          <w:color w:val="FF0000"/>
          <w:szCs w:val="22"/>
        </w:rPr>
        <w:drawing>
          <wp:inline distT="0" distB="0" distL="0" distR="0">
            <wp:extent cx="2847975" cy="2028825"/>
            <wp:effectExtent l="0" t="0" r="9525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FF0000"/>
          <w:szCs w:val="22"/>
        </w:rPr>
        <w:t xml:space="preserve"> </w:t>
      </w:r>
      <w:r>
        <w:rPr>
          <w:noProof/>
          <w:color w:val="FF0000"/>
          <w:szCs w:val="22"/>
        </w:rPr>
        <w:drawing>
          <wp:inline distT="0" distB="0" distL="0" distR="0">
            <wp:extent cx="2847975" cy="2085975"/>
            <wp:effectExtent l="0" t="0" r="9525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77"/>
        <w:gridCol w:w="687"/>
        <w:gridCol w:w="714"/>
        <w:gridCol w:w="869"/>
        <w:gridCol w:w="731"/>
        <w:gridCol w:w="816"/>
        <w:gridCol w:w="1056"/>
        <w:gridCol w:w="723"/>
        <w:gridCol w:w="827"/>
        <w:gridCol w:w="606"/>
        <w:gridCol w:w="886"/>
      </w:tblGrid>
      <w:tr w:rsidR="00AE5D85" w:rsidRPr="000C2686" w:rsidTr="00AE5D85">
        <w:tc>
          <w:tcPr>
            <w:tcW w:w="8177" w:type="dxa"/>
            <w:gridSpan w:val="10"/>
            <w:shd w:val="clear" w:color="auto" w:fill="CCFFFF"/>
          </w:tcPr>
          <w:p w:rsidR="00AE5D85" w:rsidRPr="000C2686" w:rsidRDefault="00AE5D85" w:rsidP="00FD0677">
            <w:pPr>
              <w:rPr>
                <w:b/>
                <w:szCs w:val="22"/>
              </w:rPr>
            </w:pPr>
            <w:bookmarkStart w:id="78" w:name="_GoBack"/>
            <w:bookmarkEnd w:id="78"/>
            <w:r w:rsidRPr="000C2686">
              <w:rPr>
                <w:b/>
                <w:szCs w:val="22"/>
              </w:rPr>
              <w:t>3.11 Doplnit pás zeleně u Kbelské ulice u metra</w:t>
            </w:r>
          </w:p>
        </w:tc>
        <w:tc>
          <w:tcPr>
            <w:tcW w:w="883" w:type="dxa"/>
            <w:shd w:val="clear" w:color="auto" w:fill="CCFFFF"/>
          </w:tcPr>
          <w:p w:rsidR="00AE5D85" w:rsidRPr="000C2686" w:rsidRDefault="00AE5D85" w:rsidP="00FD0677">
            <w:pPr>
              <w:rPr>
                <w:b/>
                <w:szCs w:val="22"/>
              </w:rPr>
            </w:pPr>
            <w:r w:rsidRPr="000C2686">
              <w:rPr>
                <w:b/>
                <w:szCs w:val="22"/>
              </w:rPr>
              <w:t>Hlasů celkem</w:t>
            </w:r>
          </w:p>
        </w:tc>
      </w:tr>
      <w:tr w:rsidR="00AE5D85" w:rsidRPr="000C2686" w:rsidTr="00AE5D85">
        <w:tc>
          <w:tcPr>
            <w:tcW w:w="1171" w:type="dxa"/>
            <w:shd w:val="clear" w:color="auto" w:fill="auto"/>
          </w:tcPr>
          <w:p w:rsidR="00AE5D85" w:rsidRPr="000C2686" w:rsidRDefault="00AE5D85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jméno</w:t>
            </w:r>
          </w:p>
        </w:tc>
        <w:tc>
          <w:tcPr>
            <w:tcW w:w="685" w:type="dxa"/>
            <w:shd w:val="clear" w:color="auto" w:fill="auto"/>
          </w:tcPr>
          <w:p w:rsidR="00AE5D85" w:rsidRPr="000C2686" w:rsidRDefault="00AE5D85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Bušek</w:t>
            </w:r>
          </w:p>
        </w:tc>
        <w:tc>
          <w:tcPr>
            <w:tcW w:w="712" w:type="dxa"/>
            <w:shd w:val="clear" w:color="auto" w:fill="auto"/>
          </w:tcPr>
          <w:p w:rsidR="00AE5D85" w:rsidRPr="000C2686" w:rsidRDefault="00AE5D85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Mašek</w:t>
            </w:r>
          </w:p>
        </w:tc>
        <w:tc>
          <w:tcPr>
            <w:tcW w:w="866" w:type="dxa"/>
            <w:shd w:val="clear" w:color="auto" w:fill="auto"/>
          </w:tcPr>
          <w:p w:rsidR="00AE5D85" w:rsidRPr="000C2686" w:rsidRDefault="00AE5D85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Deutsch</w:t>
            </w:r>
          </w:p>
        </w:tc>
        <w:tc>
          <w:tcPr>
            <w:tcW w:w="729" w:type="dxa"/>
            <w:shd w:val="clear" w:color="auto" w:fill="auto"/>
          </w:tcPr>
          <w:p w:rsidR="00AE5D85" w:rsidRPr="000C2686" w:rsidRDefault="00AE5D85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Staněk</w:t>
            </w:r>
          </w:p>
        </w:tc>
        <w:tc>
          <w:tcPr>
            <w:tcW w:w="813" w:type="dxa"/>
            <w:shd w:val="clear" w:color="auto" w:fill="auto"/>
          </w:tcPr>
          <w:p w:rsidR="00AE5D85" w:rsidRPr="000C2686" w:rsidRDefault="00AE5D85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Türkott</w:t>
            </w:r>
          </w:p>
        </w:tc>
        <w:tc>
          <w:tcPr>
            <w:tcW w:w="1052" w:type="dxa"/>
            <w:shd w:val="clear" w:color="auto" w:fill="auto"/>
          </w:tcPr>
          <w:p w:rsidR="00AE5D85" w:rsidRPr="000C2686" w:rsidRDefault="00AE5D85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Tomaševič</w:t>
            </w:r>
          </w:p>
        </w:tc>
        <w:tc>
          <w:tcPr>
            <w:tcW w:w="721" w:type="dxa"/>
            <w:shd w:val="clear" w:color="auto" w:fill="auto"/>
          </w:tcPr>
          <w:p w:rsidR="00AE5D85" w:rsidRPr="000C2686" w:rsidRDefault="00AE5D85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Hanus</w:t>
            </w:r>
          </w:p>
        </w:tc>
        <w:tc>
          <w:tcPr>
            <w:tcW w:w="824" w:type="dxa"/>
            <w:shd w:val="clear" w:color="auto" w:fill="auto"/>
          </w:tcPr>
          <w:p w:rsidR="00AE5D85" w:rsidRPr="000C2686" w:rsidRDefault="00AE5D85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Mourek</w:t>
            </w:r>
          </w:p>
        </w:tc>
        <w:tc>
          <w:tcPr>
            <w:tcW w:w="604" w:type="dxa"/>
            <w:shd w:val="clear" w:color="auto" w:fill="auto"/>
          </w:tcPr>
          <w:p w:rsidR="00AE5D85" w:rsidRPr="000C2686" w:rsidRDefault="00AE5D85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Tikal</w:t>
            </w:r>
          </w:p>
        </w:tc>
        <w:tc>
          <w:tcPr>
            <w:tcW w:w="883" w:type="dxa"/>
            <w:shd w:val="clear" w:color="auto" w:fill="auto"/>
          </w:tcPr>
          <w:p w:rsidR="00AE5D85" w:rsidRPr="000C2686" w:rsidRDefault="00AE5D85" w:rsidP="00FD0677">
            <w:pPr>
              <w:rPr>
                <w:sz w:val="20"/>
                <w:szCs w:val="22"/>
              </w:rPr>
            </w:pPr>
          </w:p>
        </w:tc>
      </w:tr>
      <w:tr w:rsidR="00AE5D85" w:rsidRPr="000C2686" w:rsidTr="00AE5D85">
        <w:tc>
          <w:tcPr>
            <w:tcW w:w="1171" w:type="dxa"/>
            <w:shd w:val="clear" w:color="auto" w:fill="auto"/>
          </w:tcPr>
          <w:p w:rsidR="00AE5D85" w:rsidRPr="000C2686" w:rsidRDefault="00AE5D85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souhlasím</w:t>
            </w:r>
          </w:p>
        </w:tc>
        <w:tc>
          <w:tcPr>
            <w:tcW w:w="685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712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866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729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813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052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721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604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883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7</w:t>
            </w:r>
          </w:p>
        </w:tc>
      </w:tr>
      <w:tr w:rsidR="00AE5D85" w:rsidRPr="000C2686" w:rsidTr="00AE5D85">
        <w:tc>
          <w:tcPr>
            <w:tcW w:w="1171" w:type="dxa"/>
            <w:shd w:val="clear" w:color="auto" w:fill="auto"/>
          </w:tcPr>
          <w:p w:rsidR="00AE5D85" w:rsidRPr="000C2686" w:rsidRDefault="00AE5D85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nesouhlasím</w:t>
            </w:r>
          </w:p>
        </w:tc>
        <w:tc>
          <w:tcPr>
            <w:tcW w:w="685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712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866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729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813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052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721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604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883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</w:tr>
      <w:tr w:rsidR="00AE5D85" w:rsidRPr="000C2686" w:rsidTr="00AE5D85">
        <w:tc>
          <w:tcPr>
            <w:tcW w:w="1171" w:type="dxa"/>
            <w:shd w:val="clear" w:color="auto" w:fill="auto"/>
          </w:tcPr>
          <w:p w:rsidR="00AE5D85" w:rsidRPr="000C2686" w:rsidRDefault="00AE5D85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zdržuji se</w:t>
            </w:r>
          </w:p>
        </w:tc>
        <w:tc>
          <w:tcPr>
            <w:tcW w:w="685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712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866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729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813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052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721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824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604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883" w:type="dxa"/>
            <w:shd w:val="clear" w:color="auto" w:fill="auto"/>
          </w:tcPr>
          <w:p w:rsidR="00AE5D85" w:rsidRPr="000C2686" w:rsidRDefault="00AE5D85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1</w:t>
            </w:r>
          </w:p>
        </w:tc>
      </w:tr>
    </w:tbl>
    <w:p w:rsidR="00AE5D85" w:rsidRPr="007200CB" w:rsidRDefault="00AE5D85" w:rsidP="00AE5D85">
      <w:pPr>
        <w:pStyle w:val="Zkladnodstavec"/>
        <w:adjustRightInd/>
        <w:spacing w:line="276" w:lineRule="auto"/>
        <w:textAlignment w:val="auto"/>
        <w:rPr>
          <w:b/>
          <w:sz w:val="20"/>
          <w:szCs w:val="22"/>
        </w:rPr>
      </w:pPr>
    </w:p>
    <w:p w:rsidR="00AE5D85" w:rsidRPr="00E67C1A" w:rsidRDefault="00AE5D85" w:rsidP="00AE5D85">
      <w:pPr>
        <w:pStyle w:val="Zkladnodstavec"/>
        <w:adjustRightInd/>
        <w:spacing w:line="276" w:lineRule="auto"/>
        <w:textAlignment w:val="auto"/>
        <w:rPr>
          <w:b/>
          <w:szCs w:val="22"/>
        </w:rPr>
      </w:pPr>
      <w:r>
        <w:rPr>
          <w:b/>
          <w:szCs w:val="22"/>
        </w:rPr>
        <w:lastRenderedPageBreak/>
        <w:t>Usnesení 20</w:t>
      </w:r>
      <w:r w:rsidRPr="00E67C1A">
        <w:rPr>
          <w:b/>
          <w:szCs w:val="22"/>
        </w:rPr>
        <w:t>/VÚRP0</w:t>
      </w:r>
      <w:r>
        <w:rPr>
          <w:b/>
          <w:szCs w:val="22"/>
        </w:rPr>
        <w:t>6</w:t>
      </w:r>
      <w:r w:rsidRPr="00E67C1A">
        <w:rPr>
          <w:b/>
          <w:szCs w:val="22"/>
        </w:rPr>
        <w:t>/22:</w:t>
      </w:r>
    </w:p>
    <w:p w:rsidR="00AE5D85" w:rsidRDefault="00AE5D85" w:rsidP="00AE5D85">
      <w:pPr>
        <w:rPr>
          <w:bCs/>
          <w:szCs w:val="22"/>
        </w:rPr>
      </w:pPr>
      <w:r w:rsidRPr="00E67C1A">
        <w:rPr>
          <w:b/>
          <w:szCs w:val="22"/>
        </w:rPr>
        <w:t xml:space="preserve">Projednání návrhu Územního plánu hl. m. Prahy (Metropolitního plánu) – stanoviska, </w:t>
      </w:r>
      <w:r w:rsidRPr="000D1D25">
        <w:rPr>
          <w:b/>
          <w:szCs w:val="22"/>
        </w:rPr>
        <w:t xml:space="preserve">připomínky, námitky </w:t>
      </w:r>
      <w:r w:rsidRPr="000D1D25">
        <w:rPr>
          <w:szCs w:val="22"/>
        </w:rPr>
        <w:t xml:space="preserve">– </w:t>
      </w:r>
      <w:r>
        <w:rPr>
          <w:bCs/>
          <w:szCs w:val="22"/>
        </w:rPr>
        <w:t xml:space="preserve">doplnění </w:t>
      </w:r>
      <w:r w:rsidRPr="00AA312A">
        <w:rPr>
          <w:bCs/>
          <w:szCs w:val="22"/>
        </w:rPr>
        <w:t>pásu zeleně u Kbelské ulice u metra</w:t>
      </w:r>
      <w:r w:rsidRPr="000D1D25">
        <w:rPr>
          <w:bCs/>
          <w:szCs w:val="22"/>
        </w:rPr>
        <w:t xml:space="preserve"> </w:t>
      </w:r>
    </w:p>
    <w:p w:rsidR="00AE5D85" w:rsidRPr="000D1D25" w:rsidRDefault="00AE5D85" w:rsidP="00AE5D85">
      <w:pPr>
        <w:rPr>
          <w:szCs w:val="22"/>
        </w:rPr>
      </w:pPr>
    </w:p>
    <w:p w:rsidR="00AE5D85" w:rsidRPr="00E67C1A" w:rsidRDefault="00AE5D85" w:rsidP="00AE5D85">
      <w:pPr>
        <w:numPr>
          <w:ilvl w:val="0"/>
          <w:numId w:val="1"/>
        </w:numPr>
        <w:ind w:left="284" w:hanging="284"/>
        <w:jc w:val="both"/>
        <w:rPr>
          <w:szCs w:val="22"/>
        </w:rPr>
      </w:pPr>
      <w:r w:rsidRPr="00E67C1A">
        <w:rPr>
          <w:szCs w:val="22"/>
        </w:rPr>
        <w:t>Výbor pro územní rozvoj a plánování doporučuje ZMČ Praha 18 podat tuto připomínku jako zásadní.</w:t>
      </w:r>
    </w:p>
    <w:p w:rsidR="00AE5D85" w:rsidRPr="00E67C1A" w:rsidRDefault="00AE5D85" w:rsidP="00AE5D85">
      <w:pPr>
        <w:pStyle w:val="Zkladnodstavec"/>
        <w:numPr>
          <w:ilvl w:val="0"/>
          <w:numId w:val="1"/>
        </w:numPr>
        <w:adjustRightInd/>
        <w:spacing w:line="276" w:lineRule="auto"/>
        <w:ind w:left="284" w:hanging="284"/>
        <w:textAlignment w:val="auto"/>
        <w:rPr>
          <w:szCs w:val="22"/>
        </w:rPr>
      </w:pPr>
      <w:r w:rsidRPr="00E67C1A">
        <w:rPr>
          <w:szCs w:val="22"/>
        </w:rPr>
        <w:t>Výbor pro územní rozvoj a plánování ukládá předsedovi VÚ</w:t>
      </w:r>
      <w:r>
        <w:rPr>
          <w:szCs w:val="22"/>
        </w:rPr>
        <w:t>RP předložit toto stanovisko MČ </w:t>
      </w:r>
      <w:r w:rsidRPr="00E67C1A">
        <w:rPr>
          <w:szCs w:val="22"/>
        </w:rPr>
        <w:t>Praha 18.</w:t>
      </w:r>
    </w:p>
    <w:p w:rsidR="00AE5D85" w:rsidRPr="00E67C1A" w:rsidRDefault="00AE5D85" w:rsidP="00AE5D85">
      <w:pPr>
        <w:pStyle w:val="Zkladnodstavec"/>
        <w:adjustRightInd/>
        <w:spacing w:line="276" w:lineRule="auto"/>
        <w:textAlignment w:val="auto"/>
        <w:rPr>
          <w:color w:val="auto"/>
          <w:szCs w:val="22"/>
        </w:rPr>
      </w:pPr>
    </w:p>
    <w:p w:rsidR="00AE5D85" w:rsidRDefault="00AE5D85" w:rsidP="00AE5D85">
      <w:pPr>
        <w:spacing w:after="120"/>
        <w:rPr>
          <w:snapToGrid w:val="0"/>
          <w:color w:val="000000"/>
          <w:szCs w:val="22"/>
        </w:rPr>
      </w:pPr>
      <w:r w:rsidRPr="00E67C1A">
        <w:rPr>
          <w:b/>
          <w:bCs/>
          <w:snapToGrid w:val="0"/>
          <w:color w:val="000000"/>
          <w:szCs w:val="22"/>
        </w:rPr>
        <w:t>Hlasování:</w:t>
      </w:r>
      <w:r w:rsidRPr="00E67C1A">
        <w:rPr>
          <w:snapToGrid w:val="0"/>
          <w:color w:val="000000"/>
          <w:szCs w:val="22"/>
        </w:rPr>
        <w:tab/>
        <w:t xml:space="preserve">pro   </w:t>
      </w:r>
      <w:r>
        <w:rPr>
          <w:snapToGrid w:val="0"/>
          <w:color w:val="000000"/>
          <w:szCs w:val="22"/>
        </w:rPr>
        <w:t>7</w:t>
      </w:r>
      <w:r w:rsidRPr="00E67C1A">
        <w:rPr>
          <w:snapToGrid w:val="0"/>
          <w:color w:val="000000"/>
          <w:szCs w:val="22"/>
        </w:rPr>
        <w:tab/>
      </w:r>
      <w:r w:rsidRPr="00E67C1A">
        <w:rPr>
          <w:snapToGrid w:val="0"/>
          <w:color w:val="000000"/>
          <w:szCs w:val="22"/>
        </w:rPr>
        <w:tab/>
        <w:t>proti   0</w:t>
      </w:r>
      <w:r w:rsidRPr="00E67C1A">
        <w:rPr>
          <w:snapToGrid w:val="0"/>
          <w:color w:val="000000"/>
          <w:szCs w:val="22"/>
        </w:rPr>
        <w:tab/>
      </w:r>
      <w:r w:rsidRPr="00E67C1A">
        <w:rPr>
          <w:snapToGrid w:val="0"/>
          <w:color w:val="000000"/>
          <w:szCs w:val="22"/>
        </w:rPr>
        <w:tab/>
        <w:t xml:space="preserve">zdržel </w:t>
      </w:r>
      <w:proofErr w:type="gramStart"/>
      <w:r w:rsidRPr="00E67C1A">
        <w:rPr>
          <w:snapToGrid w:val="0"/>
          <w:color w:val="000000"/>
          <w:szCs w:val="22"/>
        </w:rPr>
        <w:t xml:space="preserve">se   </w:t>
      </w:r>
      <w:r>
        <w:rPr>
          <w:snapToGrid w:val="0"/>
          <w:color w:val="000000"/>
          <w:szCs w:val="22"/>
        </w:rPr>
        <w:t>1</w:t>
      </w:r>
      <w:proofErr w:type="gramEnd"/>
    </w:p>
    <w:p w:rsidR="00AE5D85" w:rsidRDefault="00AE5D85" w:rsidP="00AE5D85">
      <w:pPr>
        <w:spacing w:after="120"/>
        <w:rPr>
          <w:b/>
          <w:snapToGrid w:val="0"/>
          <w:color w:val="000000"/>
          <w:szCs w:val="22"/>
        </w:rPr>
      </w:pPr>
      <w:r w:rsidRPr="00E67C1A">
        <w:rPr>
          <w:b/>
          <w:snapToGrid w:val="0"/>
          <w:color w:val="000000"/>
          <w:szCs w:val="22"/>
        </w:rPr>
        <w:t>Usnesení bylo přijato.</w:t>
      </w:r>
    </w:p>
    <w:p w:rsidR="00AE5D85" w:rsidRDefault="00AE5D85" w:rsidP="00AE5D85">
      <w:pPr>
        <w:rPr>
          <w:b/>
          <w:bCs/>
          <w:color w:val="FF0000"/>
          <w:szCs w:val="22"/>
        </w:rPr>
      </w:pPr>
    </w:p>
    <w:p w:rsidR="00AE5D85" w:rsidRPr="004B6D08" w:rsidRDefault="00AE5D85" w:rsidP="00AE5D85">
      <w:pPr>
        <w:jc w:val="both"/>
        <w:rPr>
          <w:b/>
        </w:rPr>
      </w:pPr>
      <w:r>
        <w:br w:type="page"/>
      </w:r>
    </w:p>
    <w:p w:rsidR="00AE5D85" w:rsidRDefault="00AE5D85" w:rsidP="00AE5D85"/>
    <w:p w:rsidR="00AC38A6" w:rsidRDefault="00AC38A6"/>
    <w:sectPr w:rsidR="00AC38A6" w:rsidSect="00AE5D85">
      <w:footerReference w:type="default" r:id="rId8"/>
      <w:headerReference w:type="first" r:id="rId9"/>
      <w:footerReference w:type="first" r:id="rId10"/>
      <w:pgSz w:w="11906" w:h="16838"/>
      <w:pgMar w:top="851" w:right="1247" w:bottom="851" w:left="1276" w:header="709" w:footer="567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lfaPID">
    <w:panose1 w:val="020B06030503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39A4" w:rsidRDefault="0061611D" w:rsidP="00B839A4">
    <w:pPr>
      <w:pStyle w:val="Zpat"/>
      <w:pBdr>
        <w:top w:val="single" w:sz="4" w:space="1" w:color="auto"/>
      </w:pBdr>
    </w:pPr>
    <w:r>
      <w:rPr>
        <w:i/>
        <w:sz w:val="20"/>
      </w:rPr>
      <w:t xml:space="preserve">Výpis usnesení ze </w:t>
    </w:r>
    <w:r w:rsidRPr="006E3897">
      <w:rPr>
        <w:i/>
        <w:sz w:val="20"/>
      </w:rPr>
      <w:t xml:space="preserve">Zápis z jednání výboru pro územní rozvoj a plánování, konaného dne </w:t>
    </w:r>
    <w:proofErr w:type="gramStart"/>
    <w:r>
      <w:rPr>
        <w:i/>
        <w:sz w:val="20"/>
      </w:rPr>
      <w:t>15.06</w:t>
    </w:r>
    <w:r>
      <w:rPr>
        <w:i/>
        <w:sz w:val="20"/>
      </w:rPr>
      <w:t>.2022</w:t>
    </w:r>
    <w:proofErr w:type="gramEnd"/>
    <w:r>
      <w:rPr>
        <w:i/>
        <w:sz w:val="20"/>
      </w:rPr>
      <w:t>, h</w:t>
    </w:r>
    <w:r>
      <w:rPr>
        <w:i/>
        <w:sz w:val="20"/>
      </w:rPr>
      <w:t>l</w:t>
    </w:r>
    <w:r>
      <w:rPr>
        <w:i/>
        <w:sz w:val="20"/>
      </w:rPr>
      <w:t>asování per rollam 21.06.2022</w:t>
    </w:r>
  </w:p>
  <w:p w:rsidR="00770889" w:rsidRDefault="0061611D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0889" w:rsidRPr="006E3897" w:rsidRDefault="0061611D" w:rsidP="006E3897">
    <w:pPr>
      <w:pStyle w:val="Zpat"/>
      <w:pBdr>
        <w:top w:val="single" w:sz="4" w:space="1" w:color="auto"/>
      </w:pBdr>
      <w:rPr>
        <w:i/>
        <w:sz w:val="20"/>
      </w:rPr>
    </w:pPr>
    <w:r w:rsidRPr="006E3897">
      <w:rPr>
        <w:i/>
        <w:sz w:val="20"/>
      </w:rPr>
      <w:t xml:space="preserve">Zápis z jednání výboru pro územní rozvoj a plánování, konaného dne </w:t>
    </w:r>
    <w:proofErr w:type="gramStart"/>
    <w:r w:rsidRPr="006E3897">
      <w:rPr>
        <w:i/>
        <w:sz w:val="20"/>
      </w:rPr>
      <w:t>14.01.2019</w:t>
    </w:r>
    <w:proofErr w:type="gramEnd"/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0889" w:rsidRPr="00E7643B" w:rsidRDefault="0061611D" w:rsidP="00E7643B">
    <w:pPr>
      <w:pStyle w:val="Zhlav"/>
      <w:jc w:val="right"/>
      <w:rPr>
        <w:rFonts w:ascii="AlfaPID" w:hAnsi="AlfaPID"/>
        <w:sz w:val="48"/>
        <w:szCs w:val="48"/>
      </w:rPr>
    </w:pPr>
    <w:r w:rsidRPr="00E7643B">
      <w:rPr>
        <w:rFonts w:ascii="AlfaPID" w:hAnsi="AlfaPID"/>
        <w:sz w:val="48"/>
        <w:szCs w:val="48"/>
      </w:rPr>
      <w:t>MC18X00A8FBC</w:t>
    </w:r>
  </w:p>
  <w:p w:rsidR="00770889" w:rsidRDefault="0061611D" w:rsidP="000B565E">
    <w:pPr>
      <w:pStyle w:val="Zhlav"/>
      <w:jc w:val="right"/>
    </w:pPr>
    <w:r w:rsidRPr="00E7643B">
      <w:t>MC18 999/2019 OVÚR</w:t>
    </w:r>
  </w:p>
  <w:p w:rsidR="00770889" w:rsidRDefault="0061611D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29A4AC8"/>
    <w:multiLevelType w:val="hybridMultilevel"/>
    <w:tmpl w:val="5450E114"/>
    <w:lvl w:ilvl="0" w:tplc="92F8B118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0B8B"/>
    <w:rsid w:val="0061611D"/>
    <w:rsid w:val="00890B8B"/>
    <w:rsid w:val="00AC38A6"/>
    <w:rsid w:val="00AE5D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F9FD783-E482-430E-A9F4-8A9C975C88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90B8B"/>
    <w:pPr>
      <w:spacing w:after="0" w:line="240" w:lineRule="auto"/>
    </w:pPr>
    <w:rPr>
      <w:rFonts w:ascii="Garamond" w:eastAsia="Times New Roman" w:hAnsi="Garamond" w:cs="Times New Roman"/>
      <w:szCs w:val="24"/>
      <w:lang w:eastAsia="cs-CZ"/>
    </w:rPr>
  </w:style>
  <w:style w:type="paragraph" w:styleId="Nadpis2">
    <w:name w:val="heading 2"/>
    <w:basedOn w:val="Normln"/>
    <w:next w:val="Normln"/>
    <w:link w:val="Nadpis2Char"/>
    <w:autoRedefine/>
    <w:uiPriority w:val="9"/>
    <w:qFormat/>
    <w:rsid w:val="00890B8B"/>
    <w:pPr>
      <w:keepNext/>
      <w:ind w:left="788" w:hanging="788"/>
      <w:jc w:val="both"/>
      <w:outlineLvl w:val="1"/>
    </w:pPr>
    <w:rPr>
      <w:b/>
      <w:bCs/>
      <w:iCs/>
      <w:sz w:val="24"/>
      <w:szCs w:val="22"/>
      <w:u w:val="single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AE5D8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890B8B"/>
    <w:rPr>
      <w:rFonts w:ascii="Garamond" w:eastAsia="Times New Roman" w:hAnsi="Garamond" w:cs="Times New Roman"/>
      <w:b/>
      <w:bCs/>
      <w:iCs/>
      <w:sz w:val="24"/>
      <w:u w:val="single"/>
      <w:lang w:eastAsia="cs-CZ"/>
    </w:rPr>
  </w:style>
  <w:style w:type="paragraph" w:styleId="Nzev">
    <w:name w:val="Title"/>
    <w:basedOn w:val="Normln"/>
    <w:link w:val="NzevChar"/>
    <w:autoRedefine/>
    <w:qFormat/>
    <w:rsid w:val="00AE5D85"/>
    <w:pPr>
      <w:spacing w:before="120" w:after="120"/>
      <w:jc w:val="center"/>
    </w:pPr>
    <w:rPr>
      <w:b/>
      <w:bCs/>
      <w:kern w:val="28"/>
      <w:sz w:val="24"/>
    </w:rPr>
  </w:style>
  <w:style w:type="character" w:customStyle="1" w:styleId="NzevChar">
    <w:name w:val="Název Char"/>
    <w:basedOn w:val="Standardnpsmoodstavce"/>
    <w:link w:val="Nzev"/>
    <w:rsid w:val="00AE5D85"/>
    <w:rPr>
      <w:rFonts w:ascii="Garamond" w:eastAsia="Times New Roman" w:hAnsi="Garamond" w:cs="Times New Roman"/>
      <w:b/>
      <w:bCs/>
      <w:kern w:val="28"/>
      <w:sz w:val="24"/>
      <w:szCs w:val="24"/>
      <w:lang w:eastAsia="cs-CZ"/>
    </w:rPr>
  </w:style>
  <w:style w:type="paragraph" w:styleId="Zhlav">
    <w:name w:val="header"/>
    <w:basedOn w:val="Normln"/>
    <w:link w:val="ZhlavChar"/>
    <w:uiPriority w:val="99"/>
    <w:rsid w:val="00890B8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90B8B"/>
    <w:rPr>
      <w:rFonts w:ascii="Garamond" w:eastAsia="Times New Roman" w:hAnsi="Garamond" w:cs="Times New Roman"/>
      <w:szCs w:val="24"/>
      <w:lang w:eastAsia="cs-CZ"/>
    </w:rPr>
  </w:style>
  <w:style w:type="paragraph" w:styleId="Zpat">
    <w:name w:val="footer"/>
    <w:basedOn w:val="Normln"/>
    <w:link w:val="ZpatChar"/>
    <w:uiPriority w:val="99"/>
    <w:rsid w:val="00890B8B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90B8B"/>
    <w:rPr>
      <w:rFonts w:ascii="Garamond" w:eastAsia="Times New Roman" w:hAnsi="Garamond" w:cs="Times New Roman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AE5D85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cs-CZ"/>
    </w:rPr>
  </w:style>
  <w:style w:type="paragraph" w:customStyle="1" w:styleId="Zkladnodstavec">
    <w:name w:val="[Základní odstavec]"/>
    <w:basedOn w:val="Normln"/>
    <w:rsid w:val="00AE5D85"/>
    <w:pPr>
      <w:autoSpaceDE w:val="0"/>
      <w:autoSpaceDN w:val="0"/>
      <w:adjustRightInd w:val="0"/>
      <w:spacing w:before="120" w:line="288" w:lineRule="auto"/>
      <w:jc w:val="both"/>
      <w:textAlignment w:val="center"/>
    </w:pPr>
    <w:rPr>
      <w:color w:val="00000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338</Words>
  <Characters>1995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 Větrovská</dc:creator>
  <cp:keywords/>
  <dc:description/>
  <cp:lastModifiedBy>Martina Větrovská</cp:lastModifiedBy>
  <cp:revision>1</cp:revision>
  <dcterms:created xsi:type="dcterms:W3CDTF">2022-06-21T08:34:00Z</dcterms:created>
  <dcterms:modified xsi:type="dcterms:W3CDTF">2022-06-21T10:08:00Z</dcterms:modified>
</cp:coreProperties>
</file>